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A06661</w:t>
      </w:r>
      <w:r>
        <w:rPr>
          <w:rFonts w:hint="eastAsia" w:ascii="宋体" w:hAnsi="宋体" w:eastAsia="宋体"/>
        </w:rPr>
        <w:t>《企业重组所得税特殊性税务处理报告表》</w:t>
      </w:r>
    </w:p>
    <w:tbl>
      <w:tblPr>
        <w:tblStyle w:val="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3555"/>
        <w:gridCol w:w="3058"/>
        <w:gridCol w:w="3103"/>
        <w:gridCol w:w="20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174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企业重组所得税特殊性税务处理报告表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纳税人名称（盖章）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纳税人识别号</w:t>
            </w:r>
          </w:p>
        </w:tc>
        <w:tc>
          <w:tcPr>
            <w:tcW w:w="514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单位地址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财务负责人</w:t>
            </w:r>
          </w:p>
        </w:tc>
        <w:tc>
          <w:tcPr>
            <w:tcW w:w="5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主管税务机关（全称）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514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7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重组日：          重组业务开始年度：         重组业务完成年度：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重组交易类型</w:t>
            </w:r>
          </w:p>
        </w:tc>
        <w:tc>
          <w:tcPr>
            <w:tcW w:w="11757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企业在重组业务中所属当事方类型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1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□法律形式改变</w:t>
            </w:r>
          </w:p>
        </w:tc>
        <w:tc>
          <w:tcPr>
            <w:tcW w:w="11757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1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□债务重组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□债务人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□债权人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1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□股权收购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□收购方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□转让方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□被收购企业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1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□资产收购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□收购方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□转让方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1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□合并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□合并企业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□被合并企业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□被合并企业股东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4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□分立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□分立企业</w:t>
            </w:r>
          </w:p>
        </w:tc>
        <w:tc>
          <w:tcPr>
            <w:tcW w:w="305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□被分立企业</w:t>
            </w:r>
          </w:p>
        </w:tc>
        <w:tc>
          <w:tcPr>
            <w:tcW w:w="3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□被分立企业股东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特殊性税务处理条件</w:t>
            </w:r>
          </w:p>
        </w:tc>
        <w:tc>
          <w:tcPr>
            <w:tcW w:w="971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（一）具有合理的商业目的，且不以减少、免除或者推迟缴纳税款为主要目的。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（二）被收购、合并或分立部分的资产或股权比例符合规定的比例。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□比例    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（三）企业重组后的连续12个月内不改变重组资产原来的实质性经营活动。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（四）重组交易对价中涉及股权支付金额符合规定比例。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□比例    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1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（五）企业重组中取得股权支付的原主要股东，在重组后连续12个月内，不得转让所取得的股权。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1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主管税务机关受理意见</w:t>
            </w:r>
          </w:p>
        </w:tc>
        <w:tc>
          <w:tcPr>
            <w:tcW w:w="11757" w:type="dxa"/>
            <w:gridSpan w:val="4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pStyle w:val="8"/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                                               （受理专用章）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41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57" w:type="dxa"/>
            <w:gridSpan w:val="4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4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其他需要说明的事项（重组业务其他需要说明的事项，如没有则填“无”）：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41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纳税人声明</w:t>
            </w:r>
          </w:p>
        </w:tc>
        <w:tc>
          <w:tcPr>
            <w:tcW w:w="11757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谨声明：本人知悉并保证本表填报内容及所附证明材料真实、完整，并承担因资料虚假而产生的法律和行政责任。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1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75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法定代表人签章：             年    月   日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填表人：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填表日期： </w:t>
            </w:r>
          </w:p>
        </w:tc>
        <w:tc>
          <w:tcPr>
            <w:tcW w:w="5144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</w:t>
            </w:r>
          </w:p>
        </w:tc>
      </w:tr>
    </w:tbl>
    <w:p>
      <w:pPr>
        <w:pStyle w:val="5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1.本表为企业重组业务适用特殊性税务处理申报时填报。涉及两个及以上重组交易类型的，应分别填报。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.“特殊性税务处理条件”，债务重组中重组所得超50%的，只需填写条件（一），债转股的，只需填写条件（一）和（五）；合并中同一控制下且不需要支付对价的合并，只需填写条件（一）、（二）、（三）和（五）。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3.本表一式两份，重组当事方及其所属主管税务机关各一份。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/>
          <w:color w:val="000000"/>
        </w:rPr>
        <w:t>4.除法律形式简单改变外，重组各方应在该重组业务完成当年，办理企业所得税年度申报时，分别向各自主管税务机关报送《企业重组所得税特殊性税务处理报告表及附表》和申报资料。合并、分立中重组一方涉及注销的，应在尚未办理注销税务登记手续前进行申报。重组主导方申报后，其他当事方向其主管税务机关办理纳税申报。申报时还应附送重组主导方经主管税务机关受理的《企业重组所得税特殊性税务处理报告表及 附 表》（复印件）。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4061E"/>
    <w:rsid w:val="655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2019-10-31T02:39:00Z</dcterms:created>
  <dc:creator>陈莉佳</dc:creator>
  <cp:lastModifiedBy>陈莉佳</cp:lastModifiedBy>
  <dcterms:modified xsi:type="dcterms:W3CDTF">2019-10-31T02:39:28Z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